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35D6" w:rsidRDefault="00F36506">
      <w:r>
        <w:t xml:space="preserve">Book picks </w:t>
      </w:r>
    </w:p>
    <w:p w:rsidR="00F36506" w:rsidRDefault="00F36506"/>
    <w:p w:rsidR="00F36506" w:rsidRDefault="00F36506">
      <w:r>
        <w:t xml:space="preserve">Beatrice and Virgil by </w:t>
      </w:r>
      <w:proofErr w:type="spellStart"/>
      <w:r>
        <w:t>Yann</w:t>
      </w:r>
      <w:proofErr w:type="spellEnd"/>
      <w:r>
        <w:t xml:space="preserve"> Martel   </w:t>
      </w:r>
      <w:proofErr w:type="spellStart"/>
      <w:r>
        <w:t>Starrred</w:t>
      </w:r>
      <w:proofErr w:type="spellEnd"/>
      <w:r>
        <w:t xml:space="preserve"> review Booklist March 10</w:t>
      </w:r>
    </w:p>
    <w:p w:rsidR="00F36506" w:rsidRDefault="00F36506">
      <w:r>
        <w:t xml:space="preserve">Changes by </w:t>
      </w:r>
      <w:r w:rsidR="00B92728">
        <w:t xml:space="preserve">Jin Butcher Starred Booklist March 10 </w:t>
      </w:r>
    </w:p>
    <w:p w:rsidR="00B92728" w:rsidRDefault="0005566C">
      <w:r>
        <w:t xml:space="preserve">Island Beneath the Sea by Isabel </w:t>
      </w:r>
      <w:proofErr w:type="spellStart"/>
      <w:proofErr w:type="gramStart"/>
      <w:r>
        <w:t>Allende</w:t>
      </w:r>
      <w:proofErr w:type="spellEnd"/>
      <w:r>
        <w:t xml:space="preserve">  Booklist</w:t>
      </w:r>
      <w:proofErr w:type="gramEnd"/>
      <w:r>
        <w:t xml:space="preserve"> March 10</w:t>
      </w:r>
    </w:p>
    <w:p w:rsidR="0005566C" w:rsidRDefault="0085446A">
      <w:r>
        <w:t xml:space="preserve">The Best Bad Luck I Ever Had by Kristine </w:t>
      </w:r>
      <w:proofErr w:type="gramStart"/>
      <w:r>
        <w:t>Levine  ALA</w:t>
      </w:r>
      <w:proofErr w:type="gramEnd"/>
      <w:r>
        <w:t xml:space="preserve"> Best Books for Young Adults</w:t>
      </w:r>
    </w:p>
    <w:p w:rsidR="0005566C" w:rsidRDefault="0005566C"/>
    <w:p w:rsidR="00F36506" w:rsidRDefault="0089053B">
      <w:r>
        <w:t xml:space="preserve">Going Bovine by </w:t>
      </w:r>
      <w:proofErr w:type="spellStart"/>
      <w:r>
        <w:t>Libba</w:t>
      </w:r>
      <w:proofErr w:type="spellEnd"/>
      <w:r>
        <w:t xml:space="preserve"> Bray </w:t>
      </w:r>
    </w:p>
    <w:p w:rsidR="00572322" w:rsidRDefault="00572322" w:rsidP="00572322">
      <w:pPr>
        <w:pStyle w:val="Heading2"/>
        <w:pBdr>
          <w:top w:val="single" w:sz="6" w:space="19" w:color="E6E0CF"/>
        </w:pBdr>
        <w:spacing w:before="300" w:beforeAutospacing="0" w:after="180" w:afterAutospacing="0" w:line="270" w:lineRule="atLeast"/>
        <w:rPr>
          <w:rFonts w:ascii="Verdana" w:eastAsia="Times New Roman" w:hAnsi="Verdana"/>
          <w:color w:val="453D37"/>
          <w:sz w:val="30"/>
          <w:szCs w:val="30"/>
        </w:rPr>
      </w:pPr>
      <w:r>
        <w:rPr>
          <w:rFonts w:ascii="Verdana" w:eastAsia="Times New Roman" w:hAnsi="Verdana"/>
          <w:color w:val="453D37"/>
          <w:sz w:val="30"/>
          <w:szCs w:val="30"/>
        </w:rPr>
        <w:t>Award Winners</w:t>
      </w:r>
    </w:p>
    <w:tbl>
      <w:tblPr>
        <w:tblW w:w="8400" w:type="dxa"/>
        <w:jc w:val="center"/>
        <w:tblCellSpacing w:w="0" w:type="dxa"/>
        <w:shd w:val="clear" w:color="auto" w:fill="FFFCF5"/>
        <w:tblCellMar>
          <w:left w:w="0" w:type="dxa"/>
          <w:right w:w="0" w:type="dxa"/>
        </w:tblCellMar>
        <w:tblLook w:val="04A0"/>
      </w:tblPr>
      <w:tblGrid>
        <w:gridCol w:w="1559"/>
        <w:gridCol w:w="6841"/>
      </w:tblGrid>
      <w:tr w:rsidR="00572322" w:rsidTr="00572322">
        <w:trPr>
          <w:tblCellSpacing w:w="0" w:type="dxa"/>
          <w:jc w:val="center"/>
        </w:trPr>
        <w:tc>
          <w:tcPr>
            <w:tcW w:w="1710" w:type="dxa"/>
            <w:shd w:val="clear" w:color="auto" w:fill="FFFCF5"/>
            <w:hideMark/>
          </w:tcPr>
          <w:p w:rsidR="00572322" w:rsidRDefault="00572322">
            <w:pPr>
              <w:spacing w:line="270" w:lineRule="atLeast"/>
              <w:rPr>
                <w:rFonts w:ascii="Verdana" w:eastAsia="Times New Roman" w:hAnsi="Verdana"/>
                <w:sz w:val="18"/>
                <w:szCs w:val="18"/>
              </w:rPr>
            </w:pPr>
            <w:r>
              <w:rPr>
                <w:rFonts w:ascii="Verdana" w:eastAsia="Times New Roman" w:hAnsi="Verdana"/>
                <w:noProof/>
                <w:color w:val="0000FF"/>
                <w:sz w:val="18"/>
                <w:szCs w:val="18"/>
                <w:bdr w:val="none" w:sz="0" w:space="0" w:color="auto" w:frame="1"/>
              </w:rPr>
              <w:drawing>
                <wp:inline distT="0" distB="0" distL="0" distR="0">
                  <wp:extent cx="948055" cy="1393825"/>
                  <wp:effectExtent l="19050" t="0" r="4445" b="0"/>
                  <wp:docPr id="1" name="Picture 1" descr="Zeitoun">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eitoun"/>
                          <pic:cNvPicPr>
                            <a:picLocks noChangeAspect="1" noChangeArrowheads="1"/>
                          </pic:cNvPicPr>
                        </pic:nvPicPr>
                        <pic:blipFill>
                          <a:blip r:embed="rId5" cstate="print"/>
                          <a:srcRect/>
                          <a:stretch>
                            <a:fillRect/>
                          </a:stretch>
                        </pic:blipFill>
                        <pic:spPr bwMode="auto">
                          <a:xfrm>
                            <a:off x="0" y="0"/>
                            <a:ext cx="948055" cy="1393825"/>
                          </a:xfrm>
                          <a:prstGeom prst="rect">
                            <a:avLst/>
                          </a:prstGeom>
                          <a:noFill/>
                          <a:ln w="9525">
                            <a:noFill/>
                            <a:miter lim="800000"/>
                            <a:headEnd/>
                            <a:tailEnd/>
                          </a:ln>
                        </pic:spPr>
                      </pic:pic>
                    </a:graphicData>
                  </a:graphic>
                </wp:inline>
              </w:drawing>
            </w:r>
          </w:p>
        </w:tc>
        <w:tc>
          <w:tcPr>
            <w:tcW w:w="6690" w:type="dxa"/>
            <w:shd w:val="clear" w:color="auto" w:fill="FFFCF5"/>
            <w:hideMark/>
          </w:tcPr>
          <w:p w:rsidR="00572322" w:rsidRDefault="00572322">
            <w:pPr>
              <w:pStyle w:val="Heading2"/>
              <w:spacing w:before="120" w:beforeAutospacing="0" w:after="75" w:afterAutospacing="0" w:line="270" w:lineRule="atLeast"/>
              <w:rPr>
                <w:rFonts w:ascii="Verdana" w:eastAsia="Times New Roman" w:hAnsi="Verdana"/>
                <w:b w:val="0"/>
                <w:bCs w:val="0"/>
                <w:sz w:val="24"/>
                <w:szCs w:val="24"/>
              </w:rPr>
            </w:pPr>
            <w:hyperlink r:id="rId6" w:history="1">
              <w:proofErr w:type="spellStart"/>
              <w:r>
                <w:rPr>
                  <w:rStyle w:val="Hyperlink"/>
                  <w:rFonts w:ascii="Verdana" w:eastAsia="Times New Roman" w:hAnsi="Verdana"/>
                  <w:color w:val="2D64B2"/>
                  <w:sz w:val="24"/>
                  <w:szCs w:val="24"/>
                </w:rPr>
                <w:t>Zeitoun</w:t>
              </w:r>
              <w:proofErr w:type="spellEnd"/>
            </w:hyperlink>
            <w:r>
              <w:rPr>
                <w:rFonts w:ascii="Verdana" w:eastAsia="Times New Roman" w:hAnsi="Verdana"/>
                <w:b w:val="0"/>
                <w:bCs w:val="0"/>
                <w:sz w:val="24"/>
                <w:szCs w:val="24"/>
              </w:rPr>
              <w:t xml:space="preserve"> by Dave Eggers</w:t>
            </w:r>
          </w:p>
          <w:p w:rsidR="00572322" w:rsidRDefault="00572322">
            <w:pPr>
              <w:pStyle w:val="NormalWeb"/>
              <w:spacing w:before="0" w:beforeAutospacing="0" w:after="75" w:afterAutospacing="0" w:line="270" w:lineRule="atLeast"/>
              <w:rPr>
                <w:rFonts w:ascii="Verdana" w:hAnsi="Verdana"/>
                <w:sz w:val="17"/>
                <w:szCs w:val="17"/>
              </w:rPr>
            </w:pPr>
            <w:r>
              <w:rPr>
                <w:rFonts w:ascii="Verdana" w:hAnsi="Verdana"/>
                <w:sz w:val="17"/>
                <w:szCs w:val="17"/>
              </w:rPr>
              <w:t xml:space="preserve">Winner of the 2010 American Book Awards. Eggers riveting nonfiction book is about </w:t>
            </w:r>
            <w:proofErr w:type="spellStart"/>
            <w:r>
              <w:rPr>
                <w:rFonts w:ascii="Verdana" w:hAnsi="Verdana"/>
                <w:sz w:val="17"/>
                <w:szCs w:val="17"/>
              </w:rPr>
              <w:t>Abdulrahman</w:t>
            </w:r>
            <w:proofErr w:type="spellEnd"/>
            <w:r>
              <w:rPr>
                <w:rFonts w:ascii="Verdana" w:hAnsi="Verdana"/>
                <w:sz w:val="17"/>
                <w:szCs w:val="17"/>
              </w:rPr>
              <w:t xml:space="preserve"> </w:t>
            </w:r>
            <w:proofErr w:type="spellStart"/>
            <w:r>
              <w:rPr>
                <w:rFonts w:ascii="Verdana" w:hAnsi="Verdana"/>
                <w:sz w:val="17"/>
                <w:szCs w:val="17"/>
              </w:rPr>
              <w:t>Zeitoun</w:t>
            </w:r>
            <w:proofErr w:type="spellEnd"/>
            <w:r>
              <w:rPr>
                <w:rFonts w:ascii="Verdana" w:hAnsi="Verdana"/>
                <w:sz w:val="17"/>
                <w:szCs w:val="17"/>
              </w:rPr>
              <w:t xml:space="preserve">, a prosperous Syrian-American and father of four, who chose to stay during Hurricane Katrina to protect his house and contracting business. In the days after the storm, he traveled the flooded streets in a secondhand canoe, passing on supplies and helping those he could. A week later, </w:t>
            </w:r>
            <w:proofErr w:type="spellStart"/>
            <w:r>
              <w:rPr>
                <w:rFonts w:ascii="Verdana" w:hAnsi="Verdana"/>
                <w:sz w:val="17"/>
                <w:szCs w:val="17"/>
              </w:rPr>
              <w:t>Zeitoun</w:t>
            </w:r>
            <w:proofErr w:type="spellEnd"/>
            <w:r>
              <w:rPr>
                <w:rFonts w:ascii="Verdana" w:hAnsi="Verdana"/>
                <w:sz w:val="17"/>
                <w:szCs w:val="17"/>
              </w:rPr>
              <w:t xml:space="preserve"> abruptly disappeared. </w:t>
            </w:r>
            <w:hyperlink r:id="rId7" w:history="1">
              <w:r>
                <w:rPr>
                  <w:rStyle w:val="Hyperlink"/>
                  <w:rFonts w:ascii="Verdana" w:hAnsi="Verdana"/>
                  <w:color w:val="2D64B2"/>
                  <w:sz w:val="17"/>
                  <w:szCs w:val="17"/>
                </w:rPr>
                <w:t>Learn more</w:t>
              </w:r>
            </w:hyperlink>
            <w:r>
              <w:rPr>
                <w:rFonts w:ascii="Verdana" w:hAnsi="Verdana"/>
                <w:sz w:val="17"/>
                <w:szCs w:val="17"/>
              </w:rPr>
              <w:br/>
            </w:r>
          </w:p>
        </w:tc>
      </w:tr>
      <w:tr w:rsidR="00572322" w:rsidTr="00572322">
        <w:trPr>
          <w:trHeight w:val="300"/>
          <w:tblCellSpacing w:w="0" w:type="dxa"/>
          <w:jc w:val="center"/>
        </w:trPr>
        <w:tc>
          <w:tcPr>
            <w:tcW w:w="0" w:type="auto"/>
            <w:shd w:val="clear" w:color="auto" w:fill="FFFCF5"/>
            <w:vAlign w:val="center"/>
            <w:hideMark/>
          </w:tcPr>
          <w:p w:rsidR="00572322" w:rsidRDefault="00572322">
            <w:pPr>
              <w:spacing w:line="270" w:lineRule="atLeast"/>
              <w:rPr>
                <w:rFonts w:ascii="Verdana" w:eastAsia="Times New Roman" w:hAnsi="Verdana"/>
                <w:sz w:val="18"/>
                <w:szCs w:val="18"/>
              </w:rPr>
            </w:pPr>
            <w:r>
              <w:rPr>
                <w:rFonts w:ascii="Verdana" w:eastAsia="Times New Roman" w:hAnsi="Verdana"/>
                <w:sz w:val="18"/>
                <w:szCs w:val="18"/>
              </w:rPr>
              <w:t> </w:t>
            </w:r>
          </w:p>
        </w:tc>
        <w:tc>
          <w:tcPr>
            <w:tcW w:w="0" w:type="auto"/>
            <w:shd w:val="clear" w:color="auto" w:fill="FFFCF5"/>
            <w:vAlign w:val="center"/>
            <w:hideMark/>
          </w:tcPr>
          <w:p w:rsidR="00572322" w:rsidRDefault="00572322">
            <w:pPr>
              <w:rPr>
                <w:rFonts w:eastAsiaTheme="minorEastAsia"/>
              </w:rPr>
            </w:pPr>
          </w:p>
        </w:tc>
      </w:tr>
      <w:tr w:rsidR="00572322" w:rsidTr="00572322">
        <w:trPr>
          <w:tblCellSpacing w:w="0" w:type="dxa"/>
          <w:jc w:val="center"/>
        </w:trPr>
        <w:tc>
          <w:tcPr>
            <w:tcW w:w="0" w:type="auto"/>
            <w:shd w:val="clear" w:color="auto" w:fill="FFFCF5"/>
            <w:hideMark/>
          </w:tcPr>
          <w:p w:rsidR="00572322" w:rsidRDefault="00572322">
            <w:pPr>
              <w:spacing w:line="270" w:lineRule="atLeast"/>
              <w:rPr>
                <w:rFonts w:ascii="Verdana" w:eastAsia="Times New Roman" w:hAnsi="Verdana"/>
                <w:sz w:val="18"/>
                <w:szCs w:val="18"/>
              </w:rPr>
            </w:pPr>
            <w:r>
              <w:rPr>
                <w:rFonts w:ascii="Verdana" w:eastAsia="Times New Roman" w:hAnsi="Verdana"/>
                <w:noProof/>
                <w:color w:val="0000FF"/>
                <w:sz w:val="18"/>
                <w:szCs w:val="18"/>
                <w:bdr w:val="none" w:sz="0" w:space="0" w:color="auto" w:frame="1"/>
              </w:rPr>
              <w:drawing>
                <wp:inline distT="0" distB="0" distL="0" distR="0">
                  <wp:extent cx="948055" cy="1449705"/>
                  <wp:effectExtent l="19050" t="0" r="4445" b="0"/>
                  <wp:docPr id="2" name="Picture 2" descr="The Neighbor">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he Neighbor"/>
                          <pic:cNvPicPr>
                            <a:picLocks noChangeAspect="1" noChangeArrowheads="1"/>
                          </pic:cNvPicPr>
                        </pic:nvPicPr>
                        <pic:blipFill>
                          <a:blip r:embed="rId9" cstate="print"/>
                          <a:srcRect/>
                          <a:stretch>
                            <a:fillRect/>
                          </a:stretch>
                        </pic:blipFill>
                        <pic:spPr bwMode="auto">
                          <a:xfrm>
                            <a:off x="0" y="0"/>
                            <a:ext cx="948055" cy="1449705"/>
                          </a:xfrm>
                          <a:prstGeom prst="rect">
                            <a:avLst/>
                          </a:prstGeom>
                          <a:noFill/>
                          <a:ln w="9525">
                            <a:noFill/>
                            <a:miter lim="800000"/>
                            <a:headEnd/>
                            <a:tailEnd/>
                          </a:ln>
                        </pic:spPr>
                      </pic:pic>
                    </a:graphicData>
                  </a:graphic>
                </wp:inline>
              </w:drawing>
            </w:r>
          </w:p>
        </w:tc>
        <w:tc>
          <w:tcPr>
            <w:tcW w:w="0" w:type="auto"/>
            <w:shd w:val="clear" w:color="auto" w:fill="FFFCF5"/>
            <w:hideMark/>
          </w:tcPr>
          <w:p w:rsidR="00572322" w:rsidRDefault="00572322">
            <w:pPr>
              <w:pStyle w:val="Heading2"/>
              <w:spacing w:before="120" w:beforeAutospacing="0" w:after="75" w:afterAutospacing="0" w:line="270" w:lineRule="atLeast"/>
              <w:rPr>
                <w:rFonts w:ascii="Verdana" w:eastAsia="Times New Roman" w:hAnsi="Verdana"/>
                <w:b w:val="0"/>
                <w:bCs w:val="0"/>
                <w:sz w:val="24"/>
                <w:szCs w:val="24"/>
              </w:rPr>
            </w:pPr>
            <w:hyperlink r:id="rId10" w:history="1">
              <w:r>
                <w:rPr>
                  <w:rStyle w:val="Hyperlink"/>
                  <w:rFonts w:ascii="Verdana" w:eastAsia="Times New Roman" w:hAnsi="Verdana"/>
                  <w:color w:val="2D64B2"/>
                  <w:sz w:val="24"/>
                  <w:szCs w:val="24"/>
                </w:rPr>
                <w:t>The Neighbor</w:t>
              </w:r>
            </w:hyperlink>
            <w:r>
              <w:rPr>
                <w:rFonts w:ascii="Verdana" w:eastAsia="Times New Roman" w:hAnsi="Verdana"/>
                <w:b w:val="0"/>
                <w:bCs w:val="0"/>
                <w:sz w:val="24"/>
                <w:szCs w:val="24"/>
              </w:rPr>
              <w:t xml:space="preserve"> by Lisa Gardner</w:t>
            </w:r>
          </w:p>
          <w:p w:rsidR="00572322" w:rsidRDefault="00572322">
            <w:pPr>
              <w:pStyle w:val="NormalWeb"/>
              <w:spacing w:before="0" w:beforeAutospacing="0" w:after="75" w:afterAutospacing="0" w:line="270" w:lineRule="atLeast"/>
              <w:rPr>
                <w:rFonts w:ascii="Verdana" w:hAnsi="Verdana"/>
                <w:sz w:val="17"/>
                <w:szCs w:val="17"/>
              </w:rPr>
            </w:pPr>
            <w:r>
              <w:rPr>
                <w:rFonts w:ascii="Verdana" w:hAnsi="Verdana"/>
                <w:sz w:val="17"/>
                <w:szCs w:val="17"/>
              </w:rPr>
              <w:t xml:space="preserve">Winner of the 2010 Thriller Awards, this is the third book in the </w:t>
            </w:r>
            <w:hyperlink r:id="rId11" w:history="1">
              <w:r>
                <w:rPr>
                  <w:rStyle w:val="Hyperlink"/>
                  <w:rFonts w:ascii="Verdana" w:hAnsi="Verdana"/>
                  <w:color w:val="2D64B2"/>
                  <w:sz w:val="17"/>
                  <w:szCs w:val="17"/>
                </w:rPr>
                <w:t>Detective D.D. Warren</w:t>
              </w:r>
            </w:hyperlink>
            <w:r>
              <w:rPr>
                <w:rFonts w:ascii="Verdana" w:hAnsi="Verdana"/>
                <w:sz w:val="17"/>
                <w:szCs w:val="17"/>
              </w:rPr>
              <w:t xml:space="preserve"> series. From a master of suspense comes a chilling new novel that explores the dangers lurking closer than you think. Because even in the perfect family, you never know what is going on behind closed doors. </w:t>
            </w:r>
            <w:hyperlink r:id="rId12" w:history="1">
              <w:r>
                <w:rPr>
                  <w:rStyle w:val="Hyperlink"/>
                  <w:rFonts w:ascii="Verdana" w:hAnsi="Verdana"/>
                  <w:color w:val="2D64B2"/>
                  <w:sz w:val="17"/>
                  <w:szCs w:val="17"/>
                </w:rPr>
                <w:t>Learn more</w:t>
              </w:r>
            </w:hyperlink>
          </w:p>
        </w:tc>
      </w:tr>
      <w:tr w:rsidR="00572322" w:rsidTr="00572322">
        <w:trPr>
          <w:trHeight w:val="300"/>
          <w:tblCellSpacing w:w="0" w:type="dxa"/>
          <w:jc w:val="center"/>
        </w:trPr>
        <w:tc>
          <w:tcPr>
            <w:tcW w:w="0" w:type="auto"/>
            <w:shd w:val="clear" w:color="auto" w:fill="FFFCF5"/>
            <w:vAlign w:val="center"/>
            <w:hideMark/>
          </w:tcPr>
          <w:p w:rsidR="00572322" w:rsidRDefault="00572322">
            <w:pPr>
              <w:spacing w:line="270" w:lineRule="atLeast"/>
              <w:rPr>
                <w:rFonts w:ascii="Verdana" w:eastAsia="Times New Roman" w:hAnsi="Verdana"/>
                <w:sz w:val="18"/>
                <w:szCs w:val="18"/>
              </w:rPr>
            </w:pPr>
            <w:r>
              <w:rPr>
                <w:rFonts w:ascii="Verdana" w:eastAsia="Times New Roman" w:hAnsi="Verdana"/>
                <w:sz w:val="18"/>
                <w:szCs w:val="18"/>
              </w:rPr>
              <w:t> </w:t>
            </w:r>
          </w:p>
        </w:tc>
        <w:tc>
          <w:tcPr>
            <w:tcW w:w="0" w:type="auto"/>
            <w:shd w:val="clear" w:color="auto" w:fill="FFFCF5"/>
            <w:vAlign w:val="center"/>
            <w:hideMark/>
          </w:tcPr>
          <w:p w:rsidR="00572322" w:rsidRDefault="00572322">
            <w:pPr>
              <w:rPr>
                <w:rFonts w:eastAsiaTheme="minorEastAsia"/>
              </w:rPr>
            </w:pPr>
          </w:p>
        </w:tc>
      </w:tr>
      <w:tr w:rsidR="00572322" w:rsidTr="00572322">
        <w:trPr>
          <w:tblCellSpacing w:w="0" w:type="dxa"/>
          <w:jc w:val="center"/>
        </w:trPr>
        <w:tc>
          <w:tcPr>
            <w:tcW w:w="0" w:type="auto"/>
            <w:shd w:val="clear" w:color="auto" w:fill="FFFCF5"/>
            <w:hideMark/>
          </w:tcPr>
          <w:p w:rsidR="00572322" w:rsidRDefault="00572322">
            <w:pPr>
              <w:spacing w:line="270" w:lineRule="atLeast"/>
              <w:rPr>
                <w:rFonts w:ascii="Verdana" w:eastAsia="Times New Roman" w:hAnsi="Verdana"/>
                <w:sz w:val="18"/>
                <w:szCs w:val="18"/>
              </w:rPr>
            </w:pPr>
            <w:r>
              <w:rPr>
                <w:rFonts w:ascii="Verdana" w:eastAsia="Times New Roman" w:hAnsi="Verdana"/>
                <w:noProof/>
                <w:color w:val="0000FF"/>
                <w:sz w:val="18"/>
                <w:szCs w:val="18"/>
                <w:bdr w:val="none" w:sz="0" w:space="0" w:color="auto" w:frame="1"/>
              </w:rPr>
              <w:drawing>
                <wp:inline distT="0" distB="0" distL="0" distR="0">
                  <wp:extent cx="948055" cy="1438275"/>
                  <wp:effectExtent l="19050" t="0" r="4445" b="0"/>
                  <wp:docPr id="3" name="Picture 3" descr="Going Bovine">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oing Bovine"/>
                          <pic:cNvPicPr>
                            <a:picLocks noChangeAspect="1" noChangeArrowheads="1"/>
                          </pic:cNvPicPr>
                        </pic:nvPicPr>
                        <pic:blipFill>
                          <a:blip r:embed="rId14" cstate="print"/>
                          <a:srcRect/>
                          <a:stretch>
                            <a:fillRect/>
                          </a:stretch>
                        </pic:blipFill>
                        <pic:spPr bwMode="auto">
                          <a:xfrm>
                            <a:off x="0" y="0"/>
                            <a:ext cx="948055" cy="1438275"/>
                          </a:xfrm>
                          <a:prstGeom prst="rect">
                            <a:avLst/>
                          </a:prstGeom>
                          <a:noFill/>
                          <a:ln w="9525">
                            <a:noFill/>
                            <a:miter lim="800000"/>
                            <a:headEnd/>
                            <a:tailEnd/>
                          </a:ln>
                        </pic:spPr>
                      </pic:pic>
                    </a:graphicData>
                  </a:graphic>
                </wp:inline>
              </w:drawing>
            </w:r>
          </w:p>
        </w:tc>
        <w:tc>
          <w:tcPr>
            <w:tcW w:w="0" w:type="auto"/>
            <w:shd w:val="clear" w:color="auto" w:fill="FFFCF5"/>
            <w:hideMark/>
          </w:tcPr>
          <w:p w:rsidR="00572322" w:rsidRDefault="00572322">
            <w:pPr>
              <w:pStyle w:val="Heading2"/>
              <w:spacing w:before="120" w:beforeAutospacing="0" w:after="75" w:afterAutospacing="0" w:line="270" w:lineRule="atLeast"/>
              <w:rPr>
                <w:rFonts w:ascii="Verdana" w:eastAsia="Times New Roman" w:hAnsi="Verdana"/>
                <w:b w:val="0"/>
                <w:bCs w:val="0"/>
                <w:sz w:val="24"/>
                <w:szCs w:val="24"/>
              </w:rPr>
            </w:pPr>
            <w:hyperlink r:id="rId15" w:history="1">
              <w:r>
                <w:rPr>
                  <w:rStyle w:val="Hyperlink"/>
                  <w:rFonts w:ascii="Verdana" w:eastAsia="Times New Roman" w:hAnsi="Verdana"/>
                  <w:color w:val="2D64B2"/>
                  <w:sz w:val="24"/>
                  <w:szCs w:val="24"/>
                </w:rPr>
                <w:t>Going Bovine</w:t>
              </w:r>
            </w:hyperlink>
            <w:r>
              <w:rPr>
                <w:rFonts w:ascii="Verdana" w:eastAsia="Times New Roman" w:hAnsi="Verdana"/>
                <w:b w:val="0"/>
                <w:bCs w:val="0"/>
                <w:sz w:val="24"/>
                <w:szCs w:val="24"/>
              </w:rPr>
              <w:t xml:space="preserve"> by </w:t>
            </w:r>
            <w:proofErr w:type="spellStart"/>
            <w:r>
              <w:rPr>
                <w:rFonts w:ascii="Verdana" w:eastAsia="Times New Roman" w:hAnsi="Verdana"/>
                <w:b w:val="0"/>
                <w:bCs w:val="0"/>
                <w:sz w:val="24"/>
                <w:szCs w:val="24"/>
              </w:rPr>
              <w:t>Libba</w:t>
            </w:r>
            <w:proofErr w:type="spellEnd"/>
            <w:r>
              <w:rPr>
                <w:rFonts w:ascii="Verdana" w:eastAsia="Times New Roman" w:hAnsi="Verdana"/>
                <w:b w:val="0"/>
                <w:bCs w:val="0"/>
                <w:sz w:val="24"/>
                <w:szCs w:val="24"/>
              </w:rPr>
              <w:t xml:space="preserve"> Bray</w:t>
            </w:r>
          </w:p>
          <w:p w:rsidR="00572322" w:rsidRDefault="00572322">
            <w:pPr>
              <w:pStyle w:val="NormalWeb"/>
              <w:spacing w:before="0" w:beforeAutospacing="0" w:after="75" w:afterAutospacing="0" w:line="270" w:lineRule="atLeast"/>
              <w:rPr>
                <w:rFonts w:ascii="Verdana" w:hAnsi="Verdana"/>
                <w:sz w:val="17"/>
                <w:szCs w:val="17"/>
              </w:rPr>
            </w:pPr>
            <w:r>
              <w:rPr>
                <w:rFonts w:ascii="Verdana" w:hAnsi="Verdana"/>
                <w:sz w:val="17"/>
                <w:szCs w:val="17"/>
              </w:rPr>
              <w:t xml:space="preserve">Winner of the 2010 Michael L. </w:t>
            </w:r>
            <w:proofErr w:type="spellStart"/>
            <w:r>
              <w:rPr>
                <w:rFonts w:ascii="Verdana" w:hAnsi="Verdana"/>
                <w:sz w:val="17"/>
                <w:szCs w:val="17"/>
              </w:rPr>
              <w:t>Printz</w:t>
            </w:r>
            <w:proofErr w:type="spellEnd"/>
            <w:r>
              <w:rPr>
                <w:rFonts w:ascii="Verdana" w:hAnsi="Verdana"/>
                <w:sz w:val="17"/>
                <w:szCs w:val="17"/>
              </w:rPr>
              <w:t xml:space="preserve"> Award for Young Adult Literature. From the author of the popular </w:t>
            </w:r>
            <w:hyperlink r:id="rId16" w:history="1">
              <w:proofErr w:type="spellStart"/>
              <w:r>
                <w:rPr>
                  <w:rStyle w:val="Hyperlink"/>
                  <w:rFonts w:ascii="Verdana" w:hAnsi="Verdana"/>
                  <w:color w:val="2D64B2"/>
                  <w:sz w:val="17"/>
                  <w:szCs w:val="17"/>
                </w:rPr>
                <w:t>Gemma</w:t>
              </w:r>
              <w:proofErr w:type="spellEnd"/>
              <w:r>
                <w:rPr>
                  <w:rStyle w:val="Hyperlink"/>
                  <w:rFonts w:ascii="Verdana" w:hAnsi="Verdana"/>
                  <w:color w:val="2D64B2"/>
                  <w:sz w:val="17"/>
                  <w:szCs w:val="17"/>
                </w:rPr>
                <w:t xml:space="preserve"> Doyle Trilogy</w:t>
              </w:r>
            </w:hyperlink>
            <w:r>
              <w:rPr>
                <w:rFonts w:ascii="Verdana" w:hAnsi="Verdana"/>
                <w:sz w:val="17"/>
                <w:szCs w:val="17"/>
              </w:rPr>
              <w:t xml:space="preserve"> comes the adventure of 16-year-old slacker Cameron. All Cameron wants is to get through high school with a minimum of effort. It's not a lot to ask. But that's before she's given some bad news: she's sick and going to die. </w:t>
            </w:r>
            <w:proofErr w:type="gramStart"/>
            <w:r>
              <w:rPr>
                <w:rFonts w:ascii="Verdana" w:hAnsi="Verdana"/>
                <w:sz w:val="17"/>
                <w:szCs w:val="17"/>
              </w:rPr>
              <w:t>Which totally sucks.</w:t>
            </w:r>
            <w:proofErr w:type="gramEnd"/>
            <w:r>
              <w:rPr>
                <w:rFonts w:ascii="Verdana" w:hAnsi="Verdana"/>
                <w:sz w:val="17"/>
                <w:szCs w:val="17"/>
              </w:rPr>
              <w:t xml:space="preserve"> </w:t>
            </w:r>
            <w:hyperlink r:id="rId17" w:history="1">
              <w:r>
                <w:rPr>
                  <w:rStyle w:val="Hyperlink"/>
                  <w:rFonts w:ascii="Verdana" w:hAnsi="Verdana"/>
                  <w:color w:val="2D64B2"/>
                  <w:sz w:val="17"/>
                  <w:szCs w:val="17"/>
                </w:rPr>
                <w:t>Learn more</w:t>
              </w:r>
            </w:hyperlink>
          </w:p>
        </w:tc>
      </w:tr>
      <w:tr w:rsidR="00572322" w:rsidTr="00572322">
        <w:trPr>
          <w:trHeight w:val="300"/>
          <w:tblCellSpacing w:w="0" w:type="dxa"/>
          <w:jc w:val="center"/>
        </w:trPr>
        <w:tc>
          <w:tcPr>
            <w:tcW w:w="0" w:type="auto"/>
            <w:shd w:val="clear" w:color="auto" w:fill="FFFCF5"/>
            <w:vAlign w:val="center"/>
            <w:hideMark/>
          </w:tcPr>
          <w:p w:rsidR="00572322" w:rsidRDefault="00572322">
            <w:pPr>
              <w:spacing w:line="270" w:lineRule="atLeast"/>
              <w:rPr>
                <w:rFonts w:ascii="Verdana" w:eastAsia="Times New Roman" w:hAnsi="Verdana"/>
                <w:sz w:val="18"/>
                <w:szCs w:val="18"/>
              </w:rPr>
            </w:pPr>
            <w:r>
              <w:rPr>
                <w:rFonts w:ascii="Verdana" w:eastAsia="Times New Roman" w:hAnsi="Verdana"/>
                <w:sz w:val="18"/>
                <w:szCs w:val="18"/>
              </w:rPr>
              <w:t> </w:t>
            </w:r>
          </w:p>
        </w:tc>
        <w:tc>
          <w:tcPr>
            <w:tcW w:w="0" w:type="auto"/>
            <w:shd w:val="clear" w:color="auto" w:fill="FFFCF5"/>
            <w:vAlign w:val="center"/>
            <w:hideMark/>
          </w:tcPr>
          <w:p w:rsidR="00572322" w:rsidRDefault="00572322">
            <w:pPr>
              <w:rPr>
                <w:rFonts w:eastAsiaTheme="minorEastAsia"/>
              </w:rPr>
            </w:pPr>
          </w:p>
        </w:tc>
      </w:tr>
      <w:tr w:rsidR="00572322" w:rsidTr="00572322">
        <w:trPr>
          <w:tblCellSpacing w:w="0" w:type="dxa"/>
          <w:jc w:val="center"/>
        </w:trPr>
        <w:tc>
          <w:tcPr>
            <w:tcW w:w="0" w:type="auto"/>
            <w:shd w:val="clear" w:color="auto" w:fill="FFFCF5"/>
            <w:hideMark/>
          </w:tcPr>
          <w:p w:rsidR="00572322" w:rsidRDefault="00572322">
            <w:pPr>
              <w:spacing w:line="270" w:lineRule="atLeast"/>
              <w:rPr>
                <w:rFonts w:ascii="Verdana" w:eastAsia="Times New Roman" w:hAnsi="Verdana"/>
                <w:sz w:val="18"/>
                <w:szCs w:val="18"/>
              </w:rPr>
            </w:pPr>
            <w:r>
              <w:rPr>
                <w:rFonts w:ascii="Verdana" w:eastAsia="Times New Roman" w:hAnsi="Verdana"/>
                <w:noProof/>
                <w:color w:val="0000FF"/>
                <w:sz w:val="18"/>
                <w:szCs w:val="18"/>
                <w:bdr w:val="none" w:sz="0" w:space="0" w:color="auto" w:frame="1"/>
              </w:rPr>
              <w:lastRenderedPageBreak/>
              <w:drawing>
                <wp:inline distT="0" distB="0" distL="0" distR="0">
                  <wp:extent cx="948055" cy="1405255"/>
                  <wp:effectExtent l="19050" t="0" r="4445" b="0"/>
                  <wp:docPr id="4" name="Picture 4" descr="The Shadow of Sirius">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he Shadow of Sirius"/>
                          <pic:cNvPicPr>
                            <a:picLocks noChangeAspect="1" noChangeArrowheads="1"/>
                          </pic:cNvPicPr>
                        </pic:nvPicPr>
                        <pic:blipFill>
                          <a:blip r:embed="rId19" cstate="print"/>
                          <a:srcRect/>
                          <a:stretch>
                            <a:fillRect/>
                          </a:stretch>
                        </pic:blipFill>
                        <pic:spPr bwMode="auto">
                          <a:xfrm>
                            <a:off x="0" y="0"/>
                            <a:ext cx="948055" cy="1405255"/>
                          </a:xfrm>
                          <a:prstGeom prst="rect">
                            <a:avLst/>
                          </a:prstGeom>
                          <a:noFill/>
                          <a:ln w="9525">
                            <a:noFill/>
                            <a:miter lim="800000"/>
                            <a:headEnd/>
                            <a:tailEnd/>
                          </a:ln>
                        </pic:spPr>
                      </pic:pic>
                    </a:graphicData>
                  </a:graphic>
                </wp:inline>
              </w:drawing>
            </w:r>
          </w:p>
        </w:tc>
        <w:tc>
          <w:tcPr>
            <w:tcW w:w="0" w:type="auto"/>
            <w:shd w:val="clear" w:color="auto" w:fill="FFFCF5"/>
            <w:hideMark/>
          </w:tcPr>
          <w:p w:rsidR="00572322" w:rsidRDefault="00572322">
            <w:pPr>
              <w:pStyle w:val="Heading2"/>
              <w:spacing w:before="120" w:beforeAutospacing="0" w:after="75" w:afterAutospacing="0" w:line="270" w:lineRule="atLeast"/>
              <w:rPr>
                <w:rFonts w:ascii="Verdana" w:eastAsia="Times New Roman" w:hAnsi="Verdana"/>
                <w:b w:val="0"/>
                <w:bCs w:val="0"/>
                <w:sz w:val="24"/>
                <w:szCs w:val="24"/>
              </w:rPr>
            </w:pPr>
            <w:hyperlink r:id="rId20" w:history="1">
              <w:r>
                <w:rPr>
                  <w:rStyle w:val="Hyperlink"/>
                  <w:rFonts w:ascii="Verdana" w:eastAsia="Times New Roman" w:hAnsi="Verdana"/>
                  <w:color w:val="2D64B2"/>
                  <w:sz w:val="24"/>
                  <w:szCs w:val="24"/>
                </w:rPr>
                <w:t>The Shadow of Sirius</w:t>
              </w:r>
            </w:hyperlink>
            <w:r>
              <w:rPr>
                <w:rFonts w:ascii="Verdana" w:eastAsia="Times New Roman" w:hAnsi="Verdana"/>
                <w:b w:val="0"/>
                <w:bCs w:val="0"/>
                <w:sz w:val="24"/>
                <w:szCs w:val="24"/>
              </w:rPr>
              <w:t xml:space="preserve"> by W. S. </w:t>
            </w:r>
            <w:proofErr w:type="spellStart"/>
            <w:r>
              <w:rPr>
                <w:rFonts w:ascii="Verdana" w:eastAsia="Times New Roman" w:hAnsi="Verdana"/>
                <w:b w:val="0"/>
                <w:bCs w:val="0"/>
                <w:sz w:val="24"/>
                <w:szCs w:val="24"/>
              </w:rPr>
              <w:t>Merwin</w:t>
            </w:r>
            <w:proofErr w:type="spellEnd"/>
          </w:p>
          <w:p w:rsidR="00572322" w:rsidRDefault="00572322">
            <w:pPr>
              <w:pStyle w:val="NormalWeb"/>
              <w:spacing w:before="0" w:beforeAutospacing="0" w:after="75" w:afterAutospacing="0" w:line="270" w:lineRule="atLeast"/>
              <w:rPr>
                <w:rFonts w:ascii="Verdana" w:hAnsi="Verdana"/>
                <w:sz w:val="17"/>
                <w:szCs w:val="17"/>
              </w:rPr>
            </w:pPr>
            <w:r>
              <w:rPr>
                <w:rFonts w:ascii="Verdana" w:hAnsi="Verdana"/>
                <w:sz w:val="17"/>
                <w:szCs w:val="17"/>
              </w:rPr>
              <w:t xml:space="preserve">The recently announced Library of Congress Poet Laureate, W.S. </w:t>
            </w:r>
            <w:proofErr w:type="spellStart"/>
            <w:r>
              <w:rPr>
                <w:rFonts w:ascii="Verdana" w:hAnsi="Verdana"/>
                <w:sz w:val="17"/>
                <w:szCs w:val="17"/>
              </w:rPr>
              <w:t>Merwin</w:t>
            </w:r>
            <w:proofErr w:type="spellEnd"/>
            <w:r>
              <w:rPr>
                <w:rFonts w:ascii="Verdana" w:hAnsi="Verdana"/>
                <w:sz w:val="17"/>
                <w:szCs w:val="17"/>
              </w:rPr>
              <w:t>, is also the 2009 Pulitzer Prize winner for his poetry. In his best book in a decade-and one of the best outright-</w:t>
            </w:r>
            <w:proofErr w:type="spellStart"/>
            <w:r>
              <w:rPr>
                <w:rFonts w:ascii="Verdana" w:hAnsi="Verdana"/>
                <w:sz w:val="17"/>
                <w:szCs w:val="17"/>
              </w:rPr>
              <w:t>Merwin</w:t>
            </w:r>
            <w:proofErr w:type="spellEnd"/>
            <w:r>
              <w:rPr>
                <w:rFonts w:ascii="Verdana" w:hAnsi="Verdana"/>
                <w:sz w:val="17"/>
                <w:szCs w:val="17"/>
              </w:rPr>
              <w:t xml:space="preserve"> points his oracular, unpunctuated poems toward his own past, and offering what may be his most personal, generous and empathic collection. </w:t>
            </w:r>
            <w:hyperlink r:id="rId21" w:history="1">
              <w:r>
                <w:rPr>
                  <w:rStyle w:val="Hyperlink"/>
                  <w:rFonts w:ascii="Verdana" w:hAnsi="Verdana"/>
                  <w:color w:val="2D64B2"/>
                  <w:sz w:val="17"/>
                  <w:szCs w:val="17"/>
                </w:rPr>
                <w:t>Learn more</w:t>
              </w:r>
            </w:hyperlink>
          </w:p>
        </w:tc>
      </w:tr>
      <w:tr w:rsidR="00572322" w:rsidTr="00572322">
        <w:trPr>
          <w:trHeight w:val="300"/>
          <w:tblCellSpacing w:w="0" w:type="dxa"/>
          <w:jc w:val="center"/>
        </w:trPr>
        <w:tc>
          <w:tcPr>
            <w:tcW w:w="0" w:type="auto"/>
            <w:shd w:val="clear" w:color="auto" w:fill="FFFCF5"/>
            <w:vAlign w:val="center"/>
            <w:hideMark/>
          </w:tcPr>
          <w:p w:rsidR="00572322" w:rsidRDefault="00572322">
            <w:pPr>
              <w:spacing w:line="270" w:lineRule="atLeast"/>
              <w:rPr>
                <w:rFonts w:ascii="Verdana" w:eastAsia="Times New Roman" w:hAnsi="Verdana"/>
                <w:sz w:val="18"/>
                <w:szCs w:val="18"/>
              </w:rPr>
            </w:pPr>
            <w:r>
              <w:rPr>
                <w:rFonts w:ascii="Verdana" w:eastAsia="Times New Roman" w:hAnsi="Verdana"/>
                <w:sz w:val="18"/>
                <w:szCs w:val="18"/>
              </w:rPr>
              <w:t> </w:t>
            </w:r>
          </w:p>
        </w:tc>
        <w:tc>
          <w:tcPr>
            <w:tcW w:w="0" w:type="auto"/>
            <w:shd w:val="clear" w:color="auto" w:fill="FFFCF5"/>
            <w:vAlign w:val="center"/>
            <w:hideMark/>
          </w:tcPr>
          <w:p w:rsidR="00572322" w:rsidRDefault="00572322">
            <w:pPr>
              <w:rPr>
                <w:rFonts w:eastAsiaTheme="minorEastAsia"/>
              </w:rPr>
            </w:pPr>
          </w:p>
        </w:tc>
      </w:tr>
      <w:tr w:rsidR="00572322" w:rsidTr="00572322">
        <w:trPr>
          <w:tblCellSpacing w:w="0" w:type="dxa"/>
          <w:jc w:val="center"/>
        </w:trPr>
        <w:tc>
          <w:tcPr>
            <w:tcW w:w="0" w:type="auto"/>
            <w:shd w:val="clear" w:color="auto" w:fill="FFFCF5"/>
            <w:hideMark/>
          </w:tcPr>
          <w:p w:rsidR="00572322" w:rsidRDefault="00572322">
            <w:pPr>
              <w:spacing w:line="270" w:lineRule="atLeast"/>
              <w:rPr>
                <w:rFonts w:ascii="Verdana" w:eastAsia="Times New Roman" w:hAnsi="Verdana"/>
                <w:sz w:val="18"/>
                <w:szCs w:val="18"/>
              </w:rPr>
            </w:pPr>
            <w:r>
              <w:rPr>
                <w:rFonts w:ascii="Verdana" w:eastAsia="Times New Roman" w:hAnsi="Verdana"/>
                <w:noProof/>
                <w:color w:val="0000FF"/>
                <w:sz w:val="18"/>
                <w:szCs w:val="18"/>
                <w:bdr w:val="none" w:sz="0" w:space="0" w:color="auto" w:frame="1"/>
              </w:rPr>
              <w:drawing>
                <wp:inline distT="0" distB="0" distL="0" distR="0">
                  <wp:extent cx="948055" cy="1449705"/>
                  <wp:effectExtent l="19050" t="0" r="4445" b="0"/>
                  <wp:docPr id="5" name="Picture 5" descr="The Unincorporated Man">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he Unincorporated Man"/>
                          <pic:cNvPicPr>
                            <a:picLocks noChangeAspect="1" noChangeArrowheads="1"/>
                          </pic:cNvPicPr>
                        </pic:nvPicPr>
                        <pic:blipFill>
                          <a:blip r:embed="rId23" cstate="print"/>
                          <a:srcRect/>
                          <a:stretch>
                            <a:fillRect/>
                          </a:stretch>
                        </pic:blipFill>
                        <pic:spPr bwMode="auto">
                          <a:xfrm>
                            <a:off x="0" y="0"/>
                            <a:ext cx="948055" cy="1449705"/>
                          </a:xfrm>
                          <a:prstGeom prst="rect">
                            <a:avLst/>
                          </a:prstGeom>
                          <a:noFill/>
                          <a:ln w="9525">
                            <a:noFill/>
                            <a:miter lim="800000"/>
                            <a:headEnd/>
                            <a:tailEnd/>
                          </a:ln>
                        </pic:spPr>
                      </pic:pic>
                    </a:graphicData>
                  </a:graphic>
                </wp:inline>
              </w:drawing>
            </w:r>
          </w:p>
        </w:tc>
        <w:tc>
          <w:tcPr>
            <w:tcW w:w="6690" w:type="dxa"/>
            <w:shd w:val="clear" w:color="auto" w:fill="FFFCF5"/>
            <w:hideMark/>
          </w:tcPr>
          <w:p w:rsidR="00572322" w:rsidRDefault="00572322">
            <w:pPr>
              <w:pStyle w:val="Heading2"/>
              <w:spacing w:before="0" w:beforeAutospacing="0" w:after="75" w:afterAutospacing="0" w:line="270" w:lineRule="atLeast"/>
              <w:rPr>
                <w:rFonts w:ascii="Verdana" w:eastAsia="Times New Roman" w:hAnsi="Verdana"/>
                <w:b w:val="0"/>
                <w:bCs w:val="0"/>
                <w:sz w:val="24"/>
                <w:szCs w:val="24"/>
              </w:rPr>
            </w:pPr>
            <w:hyperlink r:id="rId24" w:history="1">
              <w:r>
                <w:rPr>
                  <w:rStyle w:val="Hyperlink"/>
                  <w:rFonts w:ascii="Verdana" w:eastAsia="Times New Roman" w:hAnsi="Verdana"/>
                  <w:color w:val="2D64B2"/>
                  <w:sz w:val="24"/>
                  <w:szCs w:val="24"/>
                </w:rPr>
                <w:t>The Unincorporated Man</w:t>
              </w:r>
            </w:hyperlink>
            <w:r>
              <w:rPr>
                <w:rFonts w:ascii="Verdana" w:eastAsia="Times New Roman" w:hAnsi="Verdana"/>
                <w:b w:val="0"/>
                <w:bCs w:val="0"/>
                <w:sz w:val="24"/>
                <w:szCs w:val="24"/>
              </w:rPr>
              <w:t xml:space="preserve"> by </w:t>
            </w:r>
            <w:proofErr w:type="spellStart"/>
            <w:r>
              <w:rPr>
                <w:rFonts w:ascii="Verdana" w:eastAsia="Times New Roman" w:hAnsi="Verdana"/>
                <w:b w:val="0"/>
                <w:bCs w:val="0"/>
                <w:sz w:val="24"/>
                <w:szCs w:val="24"/>
              </w:rPr>
              <w:t>Dani</w:t>
            </w:r>
            <w:proofErr w:type="spellEnd"/>
            <w:r>
              <w:rPr>
                <w:rFonts w:ascii="Verdana" w:eastAsia="Times New Roman" w:hAnsi="Verdana"/>
                <w:b w:val="0"/>
                <w:bCs w:val="0"/>
                <w:sz w:val="24"/>
                <w:szCs w:val="24"/>
              </w:rPr>
              <w:t xml:space="preserve"> </w:t>
            </w:r>
            <w:proofErr w:type="spellStart"/>
            <w:r>
              <w:rPr>
                <w:rFonts w:ascii="Verdana" w:eastAsia="Times New Roman" w:hAnsi="Verdana"/>
                <w:b w:val="0"/>
                <w:bCs w:val="0"/>
                <w:sz w:val="24"/>
                <w:szCs w:val="24"/>
              </w:rPr>
              <w:t>Kollin</w:t>
            </w:r>
            <w:proofErr w:type="spellEnd"/>
            <w:r>
              <w:rPr>
                <w:rFonts w:ascii="Verdana" w:eastAsia="Times New Roman" w:hAnsi="Verdana"/>
                <w:b w:val="0"/>
                <w:bCs w:val="0"/>
                <w:sz w:val="24"/>
                <w:szCs w:val="24"/>
              </w:rPr>
              <w:t xml:space="preserve"> &amp; </w:t>
            </w:r>
            <w:proofErr w:type="spellStart"/>
            <w:r>
              <w:rPr>
                <w:rFonts w:ascii="Verdana" w:eastAsia="Times New Roman" w:hAnsi="Verdana"/>
                <w:b w:val="0"/>
                <w:bCs w:val="0"/>
                <w:sz w:val="24"/>
                <w:szCs w:val="24"/>
              </w:rPr>
              <w:t>Eytan</w:t>
            </w:r>
            <w:proofErr w:type="spellEnd"/>
            <w:r>
              <w:rPr>
                <w:rFonts w:ascii="Verdana" w:eastAsia="Times New Roman" w:hAnsi="Verdana"/>
                <w:b w:val="0"/>
                <w:bCs w:val="0"/>
                <w:sz w:val="24"/>
                <w:szCs w:val="24"/>
              </w:rPr>
              <w:t xml:space="preserve"> </w:t>
            </w:r>
            <w:proofErr w:type="spellStart"/>
            <w:r>
              <w:rPr>
                <w:rFonts w:ascii="Verdana" w:eastAsia="Times New Roman" w:hAnsi="Verdana"/>
                <w:b w:val="0"/>
                <w:bCs w:val="0"/>
                <w:sz w:val="24"/>
                <w:szCs w:val="24"/>
              </w:rPr>
              <w:t>Kollin</w:t>
            </w:r>
            <w:proofErr w:type="spellEnd"/>
          </w:p>
          <w:p w:rsidR="00572322" w:rsidRDefault="00572322">
            <w:pPr>
              <w:pStyle w:val="NormalWeb"/>
              <w:spacing w:before="0" w:beforeAutospacing="0" w:after="75" w:afterAutospacing="0" w:line="270" w:lineRule="atLeast"/>
              <w:rPr>
                <w:rFonts w:ascii="Verdana" w:hAnsi="Verdana"/>
                <w:sz w:val="17"/>
                <w:szCs w:val="17"/>
              </w:rPr>
            </w:pPr>
            <w:r>
              <w:rPr>
                <w:rFonts w:ascii="Verdana" w:hAnsi="Verdana"/>
                <w:sz w:val="17"/>
                <w:szCs w:val="17"/>
              </w:rPr>
              <w:t xml:space="preserve">Winner of the 2010 Prometheus Award. This provocative tale takes place after civilization has fallen into complete economic collapse. This reborn civilization is one in which every individual is incorporated at birth, and spends years trying to attain control their own life by getting a majority of their own shares. </w:t>
            </w:r>
            <w:hyperlink r:id="rId25" w:history="1">
              <w:r>
                <w:rPr>
                  <w:rStyle w:val="Hyperlink"/>
                  <w:rFonts w:ascii="Verdana" w:hAnsi="Verdana"/>
                  <w:color w:val="2D64B2"/>
                  <w:sz w:val="17"/>
                  <w:szCs w:val="17"/>
                </w:rPr>
                <w:t>Learn more</w:t>
              </w:r>
            </w:hyperlink>
          </w:p>
        </w:tc>
      </w:tr>
      <w:tr w:rsidR="00572322" w:rsidTr="00572322">
        <w:trPr>
          <w:trHeight w:val="300"/>
          <w:tblCellSpacing w:w="0" w:type="dxa"/>
          <w:jc w:val="center"/>
        </w:trPr>
        <w:tc>
          <w:tcPr>
            <w:tcW w:w="0" w:type="auto"/>
            <w:gridSpan w:val="2"/>
            <w:shd w:val="clear" w:color="auto" w:fill="FFFCF5"/>
            <w:vAlign w:val="center"/>
            <w:hideMark/>
          </w:tcPr>
          <w:p w:rsidR="00572322" w:rsidRDefault="00572322">
            <w:pPr>
              <w:spacing w:line="270" w:lineRule="atLeast"/>
              <w:rPr>
                <w:rFonts w:ascii="Verdana" w:eastAsia="Times New Roman" w:hAnsi="Verdana"/>
                <w:sz w:val="18"/>
                <w:szCs w:val="18"/>
              </w:rPr>
            </w:pPr>
            <w:r>
              <w:rPr>
                <w:rFonts w:ascii="Verdana" w:eastAsia="Times New Roman" w:hAnsi="Verdana"/>
                <w:sz w:val="18"/>
                <w:szCs w:val="18"/>
              </w:rPr>
              <w:t> </w:t>
            </w:r>
          </w:p>
        </w:tc>
      </w:tr>
      <w:tr w:rsidR="00572322" w:rsidTr="00572322">
        <w:trPr>
          <w:tblCellSpacing w:w="0" w:type="dxa"/>
          <w:jc w:val="center"/>
        </w:trPr>
        <w:tc>
          <w:tcPr>
            <w:tcW w:w="0" w:type="auto"/>
            <w:shd w:val="clear" w:color="auto" w:fill="FFFCF5"/>
            <w:hideMark/>
          </w:tcPr>
          <w:p w:rsidR="00572322" w:rsidRDefault="00572322">
            <w:pPr>
              <w:spacing w:line="270" w:lineRule="atLeast"/>
              <w:rPr>
                <w:rFonts w:ascii="Verdana" w:eastAsia="Times New Roman" w:hAnsi="Verdana"/>
                <w:sz w:val="18"/>
                <w:szCs w:val="18"/>
              </w:rPr>
            </w:pPr>
            <w:r>
              <w:rPr>
                <w:rFonts w:ascii="Verdana" w:eastAsia="Times New Roman" w:hAnsi="Verdana"/>
                <w:noProof/>
                <w:color w:val="0000FF"/>
                <w:sz w:val="18"/>
                <w:szCs w:val="18"/>
                <w:bdr w:val="none" w:sz="0" w:space="0" w:color="auto" w:frame="1"/>
              </w:rPr>
              <w:drawing>
                <wp:inline distT="0" distB="0" distL="0" distR="0">
                  <wp:extent cx="948055" cy="1449705"/>
                  <wp:effectExtent l="19050" t="0" r="4445" b="0"/>
                  <wp:docPr id="6" name="Picture 6" descr="The Lacuna">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he Lacuna"/>
                          <pic:cNvPicPr>
                            <a:picLocks noChangeAspect="1" noChangeArrowheads="1"/>
                          </pic:cNvPicPr>
                        </pic:nvPicPr>
                        <pic:blipFill>
                          <a:blip r:embed="rId27" cstate="print"/>
                          <a:srcRect/>
                          <a:stretch>
                            <a:fillRect/>
                          </a:stretch>
                        </pic:blipFill>
                        <pic:spPr bwMode="auto">
                          <a:xfrm>
                            <a:off x="0" y="0"/>
                            <a:ext cx="948055" cy="1449705"/>
                          </a:xfrm>
                          <a:prstGeom prst="rect">
                            <a:avLst/>
                          </a:prstGeom>
                          <a:noFill/>
                          <a:ln w="9525">
                            <a:noFill/>
                            <a:miter lim="800000"/>
                            <a:headEnd/>
                            <a:tailEnd/>
                          </a:ln>
                        </pic:spPr>
                      </pic:pic>
                    </a:graphicData>
                  </a:graphic>
                </wp:inline>
              </w:drawing>
            </w:r>
          </w:p>
        </w:tc>
        <w:tc>
          <w:tcPr>
            <w:tcW w:w="0" w:type="auto"/>
            <w:shd w:val="clear" w:color="auto" w:fill="FFFCF5"/>
            <w:hideMark/>
          </w:tcPr>
          <w:p w:rsidR="00572322" w:rsidRDefault="00572322">
            <w:pPr>
              <w:pStyle w:val="Heading2"/>
              <w:spacing w:before="0" w:beforeAutospacing="0" w:after="75" w:afterAutospacing="0" w:line="270" w:lineRule="atLeast"/>
              <w:rPr>
                <w:rFonts w:ascii="Verdana" w:eastAsia="Times New Roman" w:hAnsi="Verdana"/>
                <w:b w:val="0"/>
                <w:bCs w:val="0"/>
                <w:sz w:val="24"/>
                <w:szCs w:val="24"/>
              </w:rPr>
            </w:pPr>
            <w:hyperlink r:id="rId28" w:history="1">
              <w:r>
                <w:rPr>
                  <w:rStyle w:val="Hyperlink"/>
                  <w:rFonts w:ascii="Verdana" w:eastAsia="Times New Roman" w:hAnsi="Verdana"/>
                  <w:color w:val="2D64B2"/>
                  <w:sz w:val="24"/>
                  <w:szCs w:val="24"/>
                </w:rPr>
                <w:t>The Lacuna</w:t>
              </w:r>
            </w:hyperlink>
            <w:r>
              <w:rPr>
                <w:rFonts w:ascii="Verdana" w:eastAsia="Times New Roman" w:hAnsi="Verdana"/>
                <w:b w:val="0"/>
                <w:bCs w:val="0"/>
                <w:sz w:val="24"/>
                <w:szCs w:val="24"/>
              </w:rPr>
              <w:t xml:space="preserve"> by Barbara Kingsolver</w:t>
            </w:r>
          </w:p>
          <w:p w:rsidR="00572322" w:rsidRDefault="00572322">
            <w:pPr>
              <w:pStyle w:val="NormalWeb"/>
              <w:spacing w:before="0" w:beforeAutospacing="0" w:after="75" w:afterAutospacing="0" w:line="270" w:lineRule="atLeast"/>
              <w:rPr>
                <w:rFonts w:ascii="Verdana" w:hAnsi="Verdana"/>
                <w:sz w:val="17"/>
                <w:szCs w:val="17"/>
              </w:rPr>
            </w:pPr>
            <w:r>
              <w:rPr>
                <w:rFonts w:ascii="Verdana" w:hAnsi="Verdana"/>
                <w:sz w:val="17"/>
                <w:szCs w:val="17"/>
              </w:rPr>
              <w:t xml:space="preserve">Winner of the 2010 Orange Prize. In her first novel in nine years, Barbara Kingsolver, the acclaimed New York Times bestselling author, takes us on an epic journey from the Mexico City of artists Diego Rivera and </w:t>
            </w:r>
            <w:proofErr w:type="spellStart"/>
            <w:r>
              <w:rPr>
                <w:rFonts w:ascii="Verdana" w:hAnsi="Verdana"/>
                <w:sz w:val="17"/>
                <w:szCs w:val="17"/>
              </w:rPr>
              <w:t>Frida</w:t>
            </w:r>
            <w:proofErr w:type="spellEnd"/>
            <w:r>
              <w:rPr>
                <w:rFonts w:ascii="Verdana" w:hAnsi="Verdana"/>
                <w:sz w:val="17"/>
                <w:szCs w:val="17"/>
              </w:rPr>
              <w:t xml:space="preserve"> Kahlo to the America of Pearl Harbor, FDR, and J. Edgar Hoover. </w:t>
            </w:r>
            <w:r>
              <w:rPr>
                <w:rFonts w:ascii="Verdana" w:hAnsi="Verdana"/>
                <w:i/>
                <w:iCs/>
                <w:sz w:val="17"/>
                <w:szCs w:val="17"/>
              </w:rPr>
              <w:t>The Lacuna</w:t>
            </w:r>
            <w:r>
              <w:rPr>
                <w:rFonts w:ascii="Verdana" w:hAnsi="Verdana"/>
                <w:sz w:val="17"/>
                <w:szCs w:val="17"/>
              </w:rPr>
              <w:t xml:space="preserve"> is a poignant story of a man pulled between two nations as they invent their modern identities. </w:t>
            </w:r>
            <w:hyperlink r:id="rId29" w:history="1">
              <w:r>
                <w:rPr>
                  <w:rStyle w:val="Hyperlink"/>
                  <w:rFonts w:ascii="Verdana" w:hAnsi="Verdana"/>
                  <w:color w:val="2D64B2"/>
                  <w:sz w:val="17"/>
                  <w:szCs w:val="17"/>
                </w:rPr>
                <w:t>Learn more</w:t>
              </w:r>
            </w:hyperlink>
          </w:p>
        </w:tc>
      </w:tr>
    </w:tbl>
    <w:p w:rsidR="00572322" w:rsidRDefault="00572322"/>
    <w:sectPr w:rsidR="00572322" w:rsidSect="00F734C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20"/>
  <w:characterSpacingControl w:val="doNotCompress"/>
  <w:compat/>
  <w:rsids>
    <w:rsidRoot w:val="00F36506"/>
    <w:rsid w:val="0005566C"/>
    <w:rsid w:val="001756BD"/>
    <w:rsid w:val="0036085D"/>
    <w:rsid w:val="00572322"/>
    <w:rsid w:val="00592DC7"/>
    <w:rsid w:val="0085446A"/>
    <w:rsid w:val="0089053B"/>
    <w:rsid w:val="00B335D6"/>
    <w:rsid w:val="00B92728"/>
    <w:rsid w:val="00DE5215"/>
    <w:rsid w:val="00E11A7B"/>
    <w:rsid w:val="00F36506"/>
    <w:rsid w:val="00F51194"/>
    <w:rsid w:val="00F734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34C3"/>
  </w:style>
  <w:style w:type="paragraph" w:styleId="Heading2">
    <w:name w:val="heading 2"/>
    <w:basedOn w:val="Normal"/>
    <w:link w:val="Heading2Char"/>
    <w:uiPriority w:val="9"/>
    <w:semiHidden/>
    <w:unhideWhenUsed/>
    <w:qFormat/>
    <w:rsid w:val="00572322"/>
    <w:pPr>
      <w:spacing w:before="100" w:beforeAutospacing="1" w:after="100" w:afterAutospacing="1" w:line="240" w:lineRule="auto"/>
      <w:outlineLvl w:val="1"/>
    </w:pPr>
    <w:rPr>
      <w:rFonts w:ascii="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572322"/>
    <w:rPr>
      <w:rFonts w:ascii="Times New Roman" w:hAnsi="Times New Roman" w:cs="Times New Roman"/>
      <w:b/>
      <w:bCs/>
      <w:sz w:val="36"/>
      <w:szCs w:val="36"/>
    </w:rPr>
  </w:style>
  <w:style w:type="character" w:styleId="Hyperlink">
    <w:name w:val="Hyperlink"/>
    <w:basedOn w:val="DefaultParagraphFont"/>
    <w:uiPriority w:val="99"/>
    <w:semiHidden/>
    <w:unhideWhenUsed/>
    <w:rsid w:val="00572322"/>
    <w:rPr>
      <w:color w:val="0000FF"/>
      <w:u w:val="single"/>
    </w:rPr>
  </w:style>
  <w:style w:type="paragraph" w:styleId="NormalWeb">
    <w:name w:val="Normal (Web)"/>
    <w:basedOn w:val="Normal"/>
    <w:uiPriority w:val="99"/>
    <w:unhideWhenUsed/>
    <w:rsid w:val="00572322"/>
    <w:pPr>
      <w:spacing w:before="100" w:beforeAutospacing="1" w:after="100" w:afterAutospacing="1" w:line="240" w:lineRule="auto"/>
    </w:pPr>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57232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232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24815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helfari.com/books/4408698/The-Neighbor?EC=7DA90E23AD3AT8Sb2a" TargetMode="External"/><Relationship Id="rId13" Type="http://schemas.openxmlformats.org/officeDocument/2006/relationships/hyperlink" Target="http://www.shelfari.com/books/4875912/Going-Bovine?EC=7DA90E23AD3AT8Sb3a" TargetMode="External"/><Relationship Id="rId18" Type="http://schemas.openxmlformats.org/officeDocument/2006/relationships/hyperlink" Target="http://www.shelfari.com/books/4114722/The-Shadow-of-Sirius?EC=7DA90E23AD3AT8Sb4a" TargetMode="External"/><Relationship Id="rId26" Type="http://schemas.openxmlformats.org/officeDocument/2006/relationships/hyperlink" Target="http://www.shelfari.com/books/5502128/The-Lacuna?EC=7DA90E23AD3AT8Sb6a" TargetMode="External"/><Relationship Id="rId3" Type="http://schemas.openxmlformats.org/officeDocument/2006/relationships/webSettings" Target="webSettings.xml"/><Relationship Id="rId21" Type="http://schemas.openxmlformats.org/officeDocument/2006/relationships/hyperlink" Target="http://www.shelfari.com/books/4114722/The-Shadow-of-Sirius?EC=7DA90E23AD3AT8Sb4c" TargetMode="External"/><Relationship Id="rId7" Type="http://schemas.openxmlformats.org/officeDocument/2006/relationships/hyperlink" Target="http://www.shelfari.com/books/5986642/Zeitoun?EC=7DA90E23AD3AT8Sb1c" TargetMode="External"/><Relationship Id="rId12" Type="http://schemas.openxmlformats.org/officeDocument/2006/relationships/hyperlink" Target="http://www.shelfari.com/books/4408698/The-Neighbor?EC=7DA90E23AD3AT8Sb2d" TargetMode="External"/><Relationship Id="rId17" Type="http://schemas.openxmlformats.org/officeDocument/2006/relationships/hyperlink" Target="http://www.shelfari.com/books/4875912/Going-Bovine?EC=7DA90E23AD3AT8Sb3d" TargetMode="External"/><Relationship Id="rId25" Type="http://schemas.openxmlformats.org/officeDocument/2006/relationships/hyperlink" Target="http://www.shelfari.com/books/5376287/The-Unincorporated-Man?EC=7DA90E23AD3AT8Sb5c" TargetMode="External"/><Relationship Id="rId2" Type="http://schemas.openxmlformats.org/officeDocument/2006/relationships/settings" Target="settings.xml"/><Relationship Id="rId16" Type="http://schemas.openxmlformats.org/officeDocument/2006/relationships/hyperlink" Target="http://www.shelfari.com/series/Gemma-Doyle-Trilogy?EC=7DA90E23AD3AT8Sb3c" TargetMode="External"/><Relationship Id="rId20" Type="http://schemas.openxmlformats.org/officeDocument/2006/relationships/hyperlink" Target="http://www.shelfari.com/books/4114722/The-Shadow-of-Sirius?EC=7DA90E23AD3AT8Sb4b" TargetMode="External"/><Relationship Id="rId29" Type="http://schemas.openxmlformats.org/officeDocument/2006/relationships/hyperlink" Target="http://www.shelfari.com/books/5502128/The-Lacuna?EC=7DA90E23AD3AT8Sb6c" TargetMode="External"/><Relationship Id="rId1" Type="http://schemas.openxmlformats.org/officeDocument/2006/relationships/styles" Target="styles.xml"/><Relationship Id="rId6" Type="http://schemas.openxmlformats.org/officeDocument/2006/relationships/hyperlink" Target="http://www.shelfari.com/books/5986642/Zeitoun?EC=7DA90E23AD3AT8Sb1b" TargetMode="External"/><Relationship Id="rId11" Type="http://schemas.openxmlformats.org/officeDocument/2006/relationships/hyperlink" Target="http://www.shelfari.com/series/Detective-D-D-Warren?EC=7DA90E23AD3AT8Sb2c" TargetMode="External"/><Relationship Id="rId24" Type="http://schemas.openxmlformats.org/officeDocument/2006/relationships/hyperlink" Target="http://www.shelfari.com/books/5376287/The-Unincorporated-Man?EC=7DA90E23AD3AT8Sb5b" TargetMode="External"/><Relationship Id="rId5" Type="http://schemas.openxmlformats.org/officeDocument/2006/relationships/image" Target="media/image1.jpeg"/><Relationship Id="rId15" Type="http://schemas.openxmlformats.org/officeDocument/2006/relationships/hyperlink" Target="http://www.shelfari.com/books/4875912/Going-Bovine?EC=7DA90E23AD3AT8Sb3b" TargetMode="External"/><Relationship Id="rId23" Type="http://schemas.openxmlformats.org/officeDocument/2006/relationships/image" Target="media/image5.jpeg"/><Relationship Id="rId28" Type="http://schemas.openxmlformats.org/officeDocument/2006/relationships/hyperlink" Target="http://www.shelfari.com/books/5502128/The-Lacuna?EC=7DA90E23AD3AT8Sb6b" TargetMode="External"/><Relationship Id="rId10" Type="http://schemas.openxmlformats.org/officeDocument/2006/relationships/hyperlink" Target="http://www.shelfari.com/books/4408698/The-Neighbor?EC=7DA90E23AD3AT8Sb2b" TargetMode="External"/><Relationship Id="rId19" Type="http://schemas.openxmlformats.org/officeDocument/2006/relationships/image" Target="media/image4.jpeg"/><Relationship Id="rId31" Type="http://schemas.openxmlformats.org/officeDocument/2006/relationships/theme" Target="theme/theme1.xml"/><Relationship Id="rId4" Type="http://schemas.openxmlformats.org/officeDocument/2006/relationships/hyperlink" Target="http://www.shelfari.com/books/5986642/Zeitoun?EC=7DA90E23AD3AT8Sb1a" TargetMode="External"/><Relationship Id="rId9" Type="http://schemas.openxmlformats.org/officeDocument/2006/relationships/image" Target="media/image2.jpeg"/><Relationship Id="rId14" Type="http://schemas.openxmlformats.org/officeDocument/2006/relationships/image" Target="media/image3.jpeg"/><Relationship Id="rId22" Type="http://schemas.openxmlformats.org/officeDocument/2006/relationships/hyperlink" Target="http://www.shelfari.com/books/5376287/The-Unincorporated-Man?EC=7DA90E23AD3AT8Sb5a" TargetMode="External"/><Relationship Id="rId27" Type="http://schemas.openxmlformats.org/officeDocument/2006/relationships/image" Target="media/image6.jpeg"/><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2</Pages>
  <Words>598</Words>
  <Characters>3413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Virginia Beach City Public</Company>
  <LinksUpToDate>false</LinksUpToDate>
  <CharactersWithSpaces>4003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 L Vartabedian</dc:creator>
  <cp:lastModifiedBy>Mary L Vartabedian</cp:lastModifiedBy>
  <cp:revision>3</cp:revision>
  <dcterms:created xsi:type="dcterms:W3CDTF">2010-09-16T13:29:00Z</dcterms:created>
  <dcterms:modified xsi:type="dcterms:W3CDTF">2010-09-22T12:41:00Z</dcterms:modified>
</cp:coreProperties>
</file>